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2D4820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Kako napraviti vlastiti organ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958C0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958C0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Sandra Kostić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958C0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Izv.prof.dr.sc. Katarina Vukojević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9958C0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9958C0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958C0" w:rsidRDefault="009958C0" w:rsidP="009958C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58C0">
              <w:rPr>
                <w:rFonts w:ascii="Arial" w:eastAsia="Times New Roman" w:hAnsi="Arial" w:cs="Arial"/>
                <w:lang w:eastAsia="hr-HR"/>
              </w:rPr>
              <w:t xml:space="preserve">Razumijevanje i usvajanje znanja o postupcima bioinženjerstva i proizvodnje regenerativnih bioloških materijala. 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958C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58C0" w:rsidRPr="009958C0" w:rsidRDefault="009958C0" w:rsidP="009958C0">
            <w:pPr>
              <w:pStyle w:val="Default"/>
              <w:rPr>
                <w:sz w:val="22"/>
                <w:szCs w:val="20"/>
              </w:rPr>
            </w:pPr>
            <w:r w:rsidRPr="009958C0">
              <w:rPr>
                <w:sz w:val="22"/>
                <w:szCs w:val="20"/>
              </w:rPr>
              <w:t>- Navesti i obrazložiti glavna područja u biotehnologiji</w:t>
            </w:r>
          </w:p>
          <w:p w:rsidR="009958C0" w:rsidRPr="009958C0" w:rsidRDefault="009958C0" w:rsidP="009958C0">
            <w:pPr>
              <w:pStyle w:val="Default"/>
              <w:rPr>
                <w:sz w:val="22"/>
                <w:szCs w:val="20"/>
              </w:rPr>
            </w:pPr>
            <w:r w:rsidRPr="009958C0">
              <w:rPr>
                <w:sz w:val="22"/>
                <w:szCs w:val="20"/>
              </w:rPr>
              <w:t>- Opisati osnovne karakteristike medicinske biotehnologije i navesti primjere unutar ovog polja</w:t>
            </w:r>
          </w:p>
          <w:p w:rsidR="009958C0" w:rsidRPr="009958C0" w:rsidRDefault="009958C0" w:rsidP="009958C0">
            <w:pPr>
              <w:pStyle w:val="Default"/>
              <w:rPr>
                <w:sz w:val="22"/>
                <w:szCs w:val="20"/>
              </w:rPr>
            </w:pPr>
            <w:r w:rsidRPr="009958C0">
              <w:rPr>
                <w:sz w:val="22"/>
                <w:szCs w:val="20"/>
              </w:rPr>
              <w:t xml:space="preserve">- Detaljno objasniti proces tkivnog inženjerstva: odabir stanica, </w:t>
            </w:r>
            <w:proofErr w:type="spellStart"/>
            <w:r w:rsidRPr="009958C0">
              <w:rPr>
                <w:sz w:val="22"/>
                <w:szCs w:val="20"/>
              </w:rPr>
              <w:t>bioreaktora</w:t>
            </w:r>
            <w:proofErr w:type="spellEnd"/>
            <w:r w:rsidRPr="009958C0">
              <w:rPr>
                <w:sz w:val="22"/>
                <w:szCs w:val="20"/>
              </w:rPr>
              <w:t xml:space="preserve"> i nosača potrebnih za bioinženjerstvo organa</w:t>
            </w:r>
          </w:p>
          <w:p w:rsidR="009958C0" w:rsidRPr="009958C0" w:rsidRDefault="009958C0" w:rsidP="009958C0">
            <w:pPr>
              <w:pStyle w:val="Default"/>
              <w:rPr>
                <w:sz w:val="22"/>
                <w:szCs w:val="20"/>
              </w:rPr>
            </w:pPr>
            <w:r w:rsidRPr="009958C0">
              <w:rPr>
                <w:sz w:val="22"/>
                <w:szCs w:val="20"/>
              </w:rPr>
              <w:t>- Identificirati i objasniti pozitivne i negativne strane korištenja matičnih stanica u tkivnom inženjerstvu</w:t>
            </w:r>
          </w:p>
          <w:p w:rsidR="00294A89" w:rsidRPr="00962BDC" w:rsidRDefault="009958C0" w:rsidP="009958C0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958C0">
              <w:rPr>
                <w:szCs w:val="20"/>
              </w:rPr>
              <w:t>- Navesti etičke probleme vezane za bioinženjerstvo organa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0"/>
                <w:u w:val="single"/>
                <w:lang w:val="hr-HR"/>
              </w:rPr>
            </w:pPr>
            <w:r w:rsidRPr="009958C0">
              <w:rPr>
                <w:rFonts w:ascii="Arial" w:hAnsi="Arial" w:cs="Arial"/>
                <w:b w:val="0"/>
                <w:i/>
                <w:sz w:val="22"/>
                <w:szCs w:val="20"/>
                <w:u w:val="single"/>
                <w:lang w:val="hr-HR"/>
              </w:rPr>
              <w:t>Predavanja (10h):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 xml:space="preserve">- Uvod u biotehnologiju 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 xml:space="preserve">- Uvod u tkivno inženjerstvo 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>- 3D printeri u biomedicini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0"/>
                <w:u w:val="single"/>
                <w:lang w:val="hr-HR"/>
              </w:rPr>
            </w:pPr>
            <w:r w:rsidRPr="009958C0">
              <w:rPr>
                <w:rFonts w:ascii="Arial" w:hAnsi="Arial" w:cs="Arial"/>
                <w:b w:val="0"/>
                <w:i/>
                <w:sz w:val="22"/>
                <w:szCs w:val="20"/>
                <w:u w:val="single"/>
                <w:lang w:val="hr-HR"/>
              </w:rPr>
              <w:t>Seminari (15h):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 xml:space="preserve">- Osnovni princip tkivnog inženjerstva – odabir stanica, nosača, </w:t>
            </w:r>
            <w:proofErr w:type="spellStart"/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>bioreaktora</w:t>
            </w:r>
            <w:proofErr w:type="spellEnd"/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 xml:space="preserve"> 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 xml:space="preserve">- Bioinženjerstvo tkiva i organa kao alternativa lijekovima, genskoj terapiji i transplantaciji organa 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 xml:space="preserve">- Mogućnosti primjene kultura stanica za izradu tkiva i organa 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>- Regenerativna medicina - primjena matičnih stanica</w:t>
            </w:r>
          </w:p>
          <w:p w:rsidR="009958C0" w:rsidRPr="009958C0" w:rsidRDefault="009958C0" w:rsidP="009958C0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0"/>
                <w:lang w:val="hr-HR"/>
              </w:rPr>
            </w:pPr>
            <w:r w:rsidRPr="009958C0">
              <w:rPr>
                <w:rFonts w:ascii="Arial" w:hAnsi="Arial" w:cs="Arial"/>
                <w:b w:val="0"/>
                <w:sz w:val="22"/>
                <w:szCs w:val="20"/>
                <w:lang w:val="hr-HR"/>
              </w:rPr>
              <w:t>- Najvažnija dostignuća u području bioinženjerstva umjetnih organa i njihov terapeutski potencijal</w:t>
            </w:r>
          </w:p>
          <w:p w:rsidR="00294A89" w:rsidRPr="00962BDC" w:rsidRDefault="009958C0" w:rsidP="009958C0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958C0">
              <w:rPr>
                <w:rFonts w:ascii="Arial" w:hAnsi="Arial" w:cs="Arial"/>
                <w:szCs w:val="20"/>
              </w:rPr>
              <w:t>- Proizvodnja specifičnih organa (tkiva): kože, hrskavice, kosti, srca, pluća, mokraćnog mjehura, spolnih organa…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9958C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58C0" w:rsidRDefault="009958C0" w:rsidP="009958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S, Baptista PM.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Whole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-organ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current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tales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modern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alchemy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2014; 163(4):259-67.</w:t>
            </w:r>
          </w:p>
          <w:p w:rsidR="009958C0" w:rsidRDefault="009958C0" w:rsidP="009958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art. </w:t>
            </w:r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Pediatr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2010;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(2):291–294.</w:t>
            </w:r>
          </w:p>
          <w:p w:rsidR="009958C0" w:rsidRDefault="009958C0" w:rsidP="009958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Paediat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2012; 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:17–28.</w:t>
            </w:r>
          </w:p>
          <w:p w:rsidR="00294A89" w:rsidRPr="00962BDC" w:rsidRDefault="009958C0" w:rsidP="009958C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Scarritt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Pashos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Bunnell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BA. A </w:t>
            </w:r>
            <w:proofErr w:type="spellStart"/>
            <w:r>
              <w:rPr>
                <w:rStyle w:val="highlight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cellularization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Style w:val="highlight"/>
                <w:sz w:val="20"/>
                <w:szCs w:val="20"/>
              </w:rPr>
              <w:t>tissue</w:t>
            </w:r>
            <w:proofErr w:type="spellEnd"/>
            <w:r>
              <w:rPr>
                <w:rStyle w:val="highligh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ighlight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Front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Biotechnol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2015;3:43.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9958C0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958C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Handschel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Wiesmann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(2009) Fundamentals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New York.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8C0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9958C0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construct your own organ</w:t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1,2,3,4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Sandra Kostić,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Biotechnology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professor 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Vukojević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9958C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9958C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58C0" w:rsidRDefault="009958C0" w:rsidP="009958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fields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biotechnology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958C0" w:rsidRDefault="009958C0" w:rsidP="009958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Describe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characteristics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biotechnology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examples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58C0" w:rsidRDefault="009958C0" w:rsidP="009958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tissue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detail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describe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choosing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components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constructing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organ.</w:t>
            </w:r>
          </w:p>
          <w:p w:rsidR="009958C0" w:rsidRDefault="009958C0" w:rsidP="009958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negative </w:t>
            </w:r>
            <w:proofErr w:type="spellStart"/>
            <w:r>
              <w:rPr>
                <w:sz w:val="20"/>
                <w:szCs w:val="20"/>
              </w:rPr>
              <w:t>sides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tissue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  <w:p w:rsidR="00294A89" w:rsidRPr="003C4FF4" w:rsidRDefault="009958C0" w:rsidP="009958C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concerns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involved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construction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artificial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58C0" w:rsidRDefault="009958C0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biotechnology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biote</w:t>
            </w:r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chnology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biomedicine </w:t>
            </w:r>
          </w:p>
          <w:p w:rsidR="00E6515C" w:rsidRDefault="00E6515C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engineering</w:t>
            </w:r>
            <w:proofErr w:type="spellEnd"/>
          </w:p>
          <w:p w:rsidR="009958C0" w:rsidRDefault="009958C0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main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principle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choosing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cells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scaffold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and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bioreactor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9958C0" w:rsidRDefault="009958C0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cells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potential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problems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m</w:t>
            </w:r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edicine;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Ethical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issues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9958C0" w:rsidRDefault="009958C0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- 3D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pri</w:t>
            </w:r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nters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bioengineering</w:t>
            </w:r>
            <w:proofErr w:type="spellEnd"/>
          </w:p>
          <w:p w:rsidR="009958C0" w:rsidRDefault="009958C0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engine</w:t>
            </w:r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ering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specific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organs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9958C0" w:rsidRDefault="009958C0" w:rsidP="009958C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most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relevant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achievements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field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artificial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the</w:t>
            </w:r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ir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therapeutic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potential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294A89" w:rsidRPr="003C4FF4" w:rsidRDefault="009958C0" w:rsidP="009958C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specific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tissues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alternative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drugs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gene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therapy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organ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transplantation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Construction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skin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cartilage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bone,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heart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lungs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reproductive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…;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scientific</w:t>
            </w:r>
            <w:proofErr w:type="spellEnd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E60D4">
              <w:rPr>
                <w:rFonts w:ascii="Arial" w:hAnsi="Arial" w:cs="Arial"/>
                <w:sz w:val="20"/>
                <w:szCs w:val="20"/>
                <w:lang w:eastAsia="hr-HR"/>
              </w:rPr>
              <w:t>articles</w:t>
            </w:r>
            <w:proofErr w:type="spellEnd"/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033E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033E37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033E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activity so that the total number of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E6515C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S, Baptista PM.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Whole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-organ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current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tales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modern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alchemy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2014; 163(4):259-67.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art. </w:t>
            </w:r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Pediatr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2010;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(2):291–294.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Paediat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2012; 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:17–28.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(2009) </w:t>
            </w:r>
            <w:proofErr w:type="spellStart"/>
            <w:r>
              <w:rPr>
                <w:rStyle w:val="ref-title"/>
                <w:sz w:val="20"/>
                <w:szCs w:val="20"/>
              </w:rPr>
              <w:t>Engineering</w:t>
            </w:r>
            <w:proofErr w:type="spellEnd"/>
            <w:r>
              <w:rPr>
                <w:rStyle w:val="ref-titl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ef-title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Curr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Opin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Biotechnol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: 575-592.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Mizrahi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O, Benjamin S, Gazit 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G, Gazit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modified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Adv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 Drug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Deliv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Rev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2010; 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:683–98.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Scarritt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Pashos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Bunnell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BA. A </w:t>
            </w:r>
            <w:proofErr w:type="spellStart"/>
            <w:r>
              <w:rPr>
                <w:rStyle w:val="highlight"/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cellularization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Style w:val="highlight"/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Style w:val="highligh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ighlight"/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Front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Biotechnol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2015;3:43.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S, Baptista PM.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Whole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-organ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bioengineering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current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tales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modern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alchemy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2014; 163(4):259-67.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E6515C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515C" w:rsidRPr="001D0A0B" w:rsidRDefault="00E6515C" w:rsidP="00E6515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art. </w:t>
            </w:r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Pediatr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ref-journal"/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Style w:val="ref-journal"/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2010;</w:t>
            </w:r>
            <w:r>
              <w:rPr>
                <w:rStyle w:val="ref-vol"/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(2):291–294.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Theme="minorHAnsi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15C" w:rsidRDefault="00E6515C" w:rsidP="00E6515C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E6515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Handschel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Wiesmann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 (2009) Fundamentals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New York.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33E37"/>
    <w:rsid w:val="000E60D4"/>
    <w:rsid w:val="00263CCF"/>
    <w:rsid w:val="00294A89"/>
    <w:rsid w:val="002D4820"/>
    <w:rsid w:val="00674B02"/>
    <w:rsid w:val="007A4A8C"/>
    <w:rsid w:val="009958C0"/>
    <w:rsid w:val="00A625B8"/>
    <w:rsid w:val="00BB2AFE"/>
    <w:rsid w:val="00DD310B"/>
    <w:rsid w:val="00DE40CA"/>
    <w:rsid w:val="00E6515C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semiHidden/>
    <w:unhideWhenUsed/>
    <w:qFormat/>
    <w:rsid w:val="009958C0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/>
      <w:b/>
      <w:bCs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95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958C0"/>
    <w:rPr>
      <w:rFonts w:ascii="Times New Roman" w:eastAsia="Batang" w:hAnsi="Times New Roman" w:cs="Times New Roman"/>
      <w:b/>
      <w:bCs/>
      <w:sz w:val="36"/>
      <w:szCs w:val="36"/>
      <w:lang w:val="en-US" w:eastAsia="ja-JP"/>
    </w:rPr>
  </w:style>
  <w:style w:type="character" w:customStyle="1" w:styleId="ref-journal">
    <w:name w:val="ref-journal"/>
    <w:basedOn w:val="DefaultParagraphFont"/>
    <w:rsid w:val="009958C0"/>
  </w:style>
  <w:style w:type="character" w:customStyle="1" w:styleId="ref-vol">
    <w:name w:val="ref-vol"/>
    <w:basedOn w:val="DefaultParagraphFont"/>
    <w:rsid w:val="009958C0"/>
  </w:style>
  <w:style w:type="character" w:customStyle="1" w:styleId="highlight">
    <w:name w:val="highlight"/>
    <w:basedOn w:val="DefaultParagraphFont"/>
    <w:rsid w:val="009958C0"/>
  </w:style>
  <w:style w:type="character" w:customStyle="1" w:styleId="ref-title">
    <w:name w:val="ref-title"/>
    <w:basedOn w:val="DefaultParagraphFont"/>
    <w:rsid w:val="00E6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jbaric</dc:creator>
  <cp:lastModifiedBy>Tina Rogošić</cp:lastModifiedBy>
  <cp:revision>2</cp:revision>
  <dcterms:created xsi:type="dcterms:W3CDTF">2017-12-12T07:21:00Z</dcterms:created>
  <dcterms:modified xsi:type="dcterms:W3CDTF">2017-12-12T07:21:00Z</dcterms:modified>
</cp:coreProperties>
</file>